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3B" w:rsidRDefault="006C3C3B" w:rsidP="00941353">
      <w:pPr>
        <w:tabs>
          <w:tab w:val="left" w:pos="3402"/>
        </w:tabs>
        <w:spacing w:after="0" w:line="254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11E9A">
        <w:rPr>
          <w:rFonts w:ascii="Times New Roman" w:eastAsia="Times New Roman" w:hAnsi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2pt" o:ole="" fillcolor="window">
            <v:imagedata r:id="rId7" o:title=""/>
          </v:shape>
          <o:OLEObject Type="Embed" ProgID="Word.Picture.8" ShapeID="_x0000_i1025" DrawAspect="Content" ObjectID="_1431176898" r:id="rId8"/>
        </w:object>
      </w: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t>М</w:t>
      </w:r>
      <w:r w:rsidRPr="00311E9A">
        <w:rPr>
          <w:rFonts w:ascii="Times New Roman" w:hAnsi="Times New Roman"/>
          <w:b/>
          <w:sz w:val="32"/>
          <w:szCs w:val="20"/>
          <w:lang w:eastAsia="ru-RU"/>
        </w:rPr>
        <w:t>униципальное образование «Томский район»</w:t>
      </w: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11E9A">
        <w:rPr>
          <w:rFonts w:ascii="Times New Roman" w:hAnsi="Times New Roman"/>
          <w:b/>
          <w:sz w:val="28"/>
          <w:szCs w:val="20"/>
          <w:lang w:eastAsia="ru-RU"/>
        </w:rPr>
        <w:t>Дума Томского района</w:t>
      </w: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11E9A">
        <w:rPr>
          <w:rFonts w:ascii="Times New Roman" w:hAnsi="Times New Roman"/>
          <w:b/>
          <w:sz w:val="32"/>
          <w:szCs w:val="20"/>
          <w:lang w:eastAsia="ru-RU"/>
        </w:rPr>
        <w:t xml:space="preserve">Счетная палата </w:t>
      </w:r>
    </w:p>
    <w:p w:rsidR="006C3C3B" w:rsidRPr="00311E9A" w:rsidRDefault="006C3C3B" w:rsidP="00941353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311E9A">
        <w:rPr>
          <w:rFonts w:ascii="Times New Roman" w:hAnsi="Times New Roman"/>
          <w:sz w:val="20"/>
          <w:szCs w:val="20"/>
          <w:lang w:eastAsia="ru-RU"/>
        </w:rPr>
        <w:t>ул. К.Маркса, 56,  г. Томск, Россия, 634050; тел(факс)40-</w:t>
      </w:r>
      <w:r>
        <w:rPr>
          <w:rFonts w:ascii="Times New Roman" w:hAnsi="Times New Roman"/>
          <w:sz w:val="20"/>
          <w:szCs w:val="20"/>
          <w:lang w:eastAsia="ru-RU"/>
        </w:rPr>
        <w:t>05</w:t>
      </w:r>
      <w:r w:rsidRPr="00311E9A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eastAsia="ru-RU"/>
        </w:rPr>
        <w:t>19</w:t>
      </w:r>
      <w:r w:rsidRPr="00311E9A">
        <w:rPr>
          <w:rFonts w:ascii="Times New Roman" w:hAnsi="Times New Roman"/>
          <w:sz w:val="28"/>
          <w:szCs w:val="20"/>
          <w:lang w:eastAsia="ru-RU"/>
        </w:rPr>
        <w:br/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311E9A">
        <w:rPr>
          <w:rFonts w:ascii="Times New Roman" w:hAnsi="Times New Roman"/>
          <w:sz w:val="18"/>
          <w:szCs w:val="20"/>
          <w:lang w:eastAsia="ru-RU"/>
        </w:rPr>
        <w:t>-</w:t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311E9A"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9" w:history="1"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sptr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@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atr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tomsk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gov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ru</w:t>
        </w:r>
      </w:hyperlink>
    </w:p>
    <w:p w:rsidR="006C3C3B" w:rsidRPr="00311E9A" w:rsidRDefault="006C3C3B" w:rsidP="00941353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6C3C3B" w:rsidRPr="008D2412" w:rsidRDefault="006C3C3B" w:rsidP="009413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C3C3B" w:rsidRPr="008D2412" w:rsidRDefault="006C3C3B" w:rsidP="009413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D2412">
        <w:rPr>
          <w:rFonts w:ascii="Times New Roman" w:hAnsi="Times New Roman"/>
          <w:b/>
          <w:sz w:val="24"/>
          <w:szCs w:val="24"/>
          <w:lang w:eastAsia="ru-RU"/>
        </w:rPr>
        <w:t xml:space="preserve"> «Утверждаю»</w:t>
      </w:r>
    </w:p>
    <w:p w:rsidR="006C3C3B" w:rsidRPr="008D2412" w:rsidRDefault="006C3C3B" w:rsidP="009413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D2412">
        <w:rPr>
          <w:rFonts w:ascii="Times New Roman" w:hAnsi="Times New Roman"/>
          <w:b/>
          <w:sz w:val="24"/>
          <w:szCs w:val="24"/>
          <w:lang w:eastAsia="ru-RU"/>
        </w:rPr>
        <w:t>Председатель Счетной палаты</w:t>
      </w:r>
    </w:p>
    <w:p w:rsidR="006C3C3B" w:rsidRDefault="006C3C3B" w:rsidP="00941353">
      <w:pPr>
        <w:tabs>
          <w:tab w:val="left" w:pos="5796"/>
          <w:tab w:val="right" w:pos="893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_______________Г</w:t>
      </w:r>
      <w:r w:rsidRPr="008D241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8D241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Басирова</w:t>
      </w:r>
    </w:p>
    <w:p w:rsidR="006C3C3B" w:rsidRDefault="006C3C3B" w:rsidP="009413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C3C3B" w:rsidRPr="00311E9A" w:rsidRDefault="006C3C3B" w:rsidP="009413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C3C3B" w:rsidRDefault="006C3C3B" w:rsidP="0094135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E9A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</w:p>
    <w:p w:rsidR="006C3C3B" w:rsidRPr="0061263C" w:rsidRDefault="006C3C3B" w:rsidP="00C126AA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1263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по итогам внешней проверки отчёта об исполнении бюджета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Межениновского</w:t>
      </w:r>
      <w:r w:rsidRPr="0061263C">
        <w:rPr>
          <w:rFonts w:ascii="Times New Roman" w:hAnsi="Times New Roman"/>
          <w:b/>
          <w:sz w:val="26"/>
          <w:szCs w:val="26"/>
          <w:lang w:eastAsia="ru-RU"/>
        </w:rPr>
        <w:t xml:space="preserve"> 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263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поселения за 20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12</w:t>
      </w:r>
      <w:r w:rsidRPr="0061263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C3C3B" w:rsidRDefault="006C3C3B" w:rsidP="00941353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C3B" w:rsidRDefault="006C3C3B" w:rsidP="00941353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г.Томск                                                                                                                                29</w:t>
      </w:r>
      <w:r w:rsidRPr="008D12A7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D12A7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3г.</w:t>
      </w:r>
    </w:p>
    <w:p w:rsidR="006C3C3B" w:rsidRDefault="006C3C3B" w:rsidP="00941353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C3C3B" w:rsidRPr="00C50F7B" w:rsidRDefault="006C3C3B" w:rsidP="00941353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9A8">
        <w:rPr>
          <w:rFonts w:ascii="Times New Roman" w:hAnsi="Times New Roman"/>
          <w:sz w:val="24"/>
          <w:szCs w:val="24"/>
        </w:rPr>
        <w:t xml:space="preserve">В соответствии с пунктом 2.4. плана работы Счетной палаты муниципального образования </w:t>
      </w:r>
      <w:r w:rsidRPr="008639A8">
        <w:rPr>
          <w:sz w:val="24"/>
          <w:szCs w:val="24"/>
        </w:rPr>
        <w:t>«</w:t>
      </w:r>
      <w:r w:rsidRPr="008639A8">
        <w:rPr>
          <w:rFonts w:ascii="Times New Roman" w:hAnsi="Times New Roman"/>
          <w:sz w:val="24"/>
          <w:szCs w:val="24"/>
        </w:rPr>
        <w:t>Томский район</w:t>
      </w:r>
      <w:r w:rsidRPr="008639A8">
        <w:rPr>
          <w:sz w:val="24"/>
          <w:szCs w:val="24"/>
        </w:rPr>
        <w:t xml:space="preserve">» </w:t>
      </w:r>
      <w:r w:rsidRPr="008639A8">
        <w:rPr>
          <w:rFonts w:ascii="Times New Roman" w:hAnsi="Times New Roman"/>
          <w:sz w:val="24"/>
          <w:szCs w:val="24"/>
        </w:rPr>
        <w:t xml:space="preserve">на 2013 год, утвержденного распоряжением Счетной палаты  от 01.03.2013г.  № 3, распоряжением Счетной палаты от 27.03.2013г № 9 «О проведении внешней проверки годовых отчетов об исполнении бюджета поселений, расположенных в границах Томского района за 2012 год», на основании статьи 9 Положения </w:t>
      </w:r>
      <w:r w:rsidRPr="008639A8">
        <w:rPr>
          <w:sz w:val="24"/>
          <w:szCs w:val="24"/>
        </w:rPr>
        <w:t>«</w:t>
      </w:r>
      <w:r w:rsidRPr="008639A8">
        <w:rPr>
          <w:rFonts w:ascii="Times New Roman" w:hAnsi="Times New Roman"/>
          <w:sz w:val="24"/>
          <w:szCs w:val="24"/>
        </w:rPr>
        <w:t xml:space="preserve">О Счетной палате муниципального образования </w:t>
      </w:r>
      <w:r w:rsidRPr="008639A8">
        <w:rPr>
          <w:sz w:val="24"/>
          <w:szCs w:val="24"/>
        </w:rPr>
        <w:t>«</w:t>
      </w:r>
      <w:r w:rsidRPr="008639A8">
        <w:rPr>
          <w:rFonts w:ascii="Times New Roman" w:hAnsi="Times New Roman"/>
          <w:sz w:val="24"/>
          <w:szCs w:val="24"/>
        </w:rPr>
        <w:t>Томский район</w:t>
      </w:r>
      <w:r w:rsidRPr="008639A8">
        <w:rPr>
          <w:sz w:val="24"/>
          <w:szCs w:val="24"/>
        </w:rPr>
        <w:t xml:space="preserve">», </w:t>
      </w:r>
      <w:r w:rsidRPr="008639A8">
        <w:rPr>
          <w:rFonts w:ascii="Times New Roman" w:hAnsi="Times New Roman"/>
          <w:sz w:val="24"/>
          <w:szCs w:val="24"/>
        </w:rPr>
        <w:t xml:space="preserve"> Соглашения «О передаче полномочий по осуществлению внешней проверки годового отчета об исполнении бюджета </w:t>
      </w:r>
      <w:r>
        <w:rPr>
          <w:rFonts w:ascii="Times New Roman" w:hAnsi="Times New Roman"/>
          <w:sz w:val="24"/>
          <w:szCs w:val="24"/>
        </w:rPr>
        <w:t>Межениновск</w:t>
      </w:r>
      <w:r w:rsidRPr="008639A8">
        <w:rPr>
          <w:rFonts w:ascii="Times New Roman" w:hAnsi="Times New Roman"/>
          <w:sz w:val="24"/>
          <w:szCs w:val="24"/>
        </w:rPr>
        <w:t xml:space="preserve">ого сельского поселения» от </w:t>
      </w:r>
      <w:r>
        <w:rPr>
          <w:rFonts w:ascii="Times New Roman" w:hAnsi="Times New Roman"/>
          <w:sz w:val="24"/>
          <w:szCs w:val="24"/>
        </w:rPr>
        <w:t>30</w:t>
      </w:r>
      <w:r w:rsidRPr="00C96C5F">
        <w:rPr>
          <w:rFonts w:ascii="Times New Roman" w:hAnsi="Times New Roman"/>
          <w:sz w:val="24"/>
          <w:szCs w:val="24"/>
        </w:rPr>
        <w:t>.03.2012 № 1</w:t>
      </w:r>
      <w:r>
        <w:rPr>
          <w:rFonts w:ascii="Times New Roman" w:hAnsi="Times New Roman"/>
          <w:sz w:val="24"/>
          <w:szCs w:val="24"/>
        </w:rPr>
        <w:t>0</w:t>
      </w:r>
      <w:r w:rsidRPr="008639A8">
        <w:rPr>
          <w:rFonts w:ascii="Times New Roman" w:hAnsi="Times New Roman"/>
          <w:sz w:val="24"/>
          <w:szCs w:val="24"/>
        </w:rPr>
        <w:t xml:space="preserve">, а также по обращению Совета </w:t>
      </w:r>
      <w:r>
        <w:rPr>
          <w:rFonts w:ascii="Times New Roman" w:hAnsi="Times New Roman"/>
          <w:sz w:val="24"/>
          <w:szCs w:val="24"/>
        </w:rPr>
        <w:t>Межениновского</w:t>
      </w:r>
      <w:r w:rsidRPr="008639A8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C96C5F">
        <w:rPr>
          <w:rFonts w:ascii="Times New Roman" w:hAnsi="Times New Roman"/>
          <w:sz w:val="24"/>
          <w:szCs w:val="24"/>
        </w:rPr>
        <w:t>.03.2013 № 0</w:t>
      </w:r>
      <w:r>
        <w:rPr>
          <w:rFonts w:ascii="Times New Roman" w:hAnsi="Times New Roman"/>
          <w:sz w:val="24"/>
          <w:szCs w:val="24"/>
        </w:rPr>
        <w:t>1-11/2</w:t>
      </w:r>
      <w:r w:rsidRPr="00863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инспектором</w:t>
      </w:r>
      <w:r w:rsidRPr="008639A8">
        <w:rPr>
          <w:rFonts w:ascii="Times New Roman" w:hAnsi="Times New Roman"/>
          <w:sz w:val="24"/>
          <w:szCs w:val="24"/>
        </w:rPr>
        <w:t xml:space="preserve"> Счетной палаты </w:t>
      </w:r>
      <w:r>
        <w:rPr>
          <w:rFonts w:ascii="Times New Roman" w:hAnsi="Times New Roman"/>
          <w:sz w:val="24"/>
          <w:szCs w:val="24"/>
        </w:rPr>
        <w:t>Щелковой И.Н.</w:t>
      </w:r>
      <w:r>
        <w:rPr>
          <w:rFonts w:ascii="Times New Roman" w:hAnsi="Times New Roman"/>
        </w:rPr>
        <w:t xml:space="preserve"> </w:t>
      </w:r>
      <w:r w:rsidRPr="00C50F7B">
        <w:rPr>
          <w:rFonts w:ascii="Times New Roman" w:hAnsi="Times New Roman"/>
          <w:sz w:val="24"/>
          <w:szCs w:val="24"/>
          <w:lang w:eastAsia="ru-RU"/>
        </w:rPr>
        <w:t>проведена внешняя проверка годово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 отчет</w:t>
      </w:r>
      <w:r>
        <w:rPr>
          <w:rFonts w:ascii="Times New Roman" w:hAnsi="Times New Roman"/>
          <w:sz w:val="24"/>
          <w:szCs w:val="24"/>
          <w:lang w:eastAsia="ru-RU"/>
        </w:rPr>
        <w:t>а об исполнении бюджета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  сельского поселения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/>
          <w:sz w:val="24"/>
          <w:szCs w:val="24"/>
          <w:lang w:eastAsia="ru-RU"/>
        </w:rPr>
        <w:t>посел</w:t>
      </w:r>
      <w:r w:rsidRPr="00C50F7B">
        <w:rPr>
          <w:rFonts w:ascii="Times New Roman" w:hAnsi="Times New Roman"/>
          <w:sz w:val="24"/>
          <w:szCs w:val="24"/>
          <w:lang w:eastAsia="ru-RU"/>
        </w:rPr>
        <w:t>ение) за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 год.</w:t>
      </w:r>
      <w:r w:rsidRPr="00C50F7B">
        <w:rPr>
          <w:rFonts w:ascii="Times New Roman" w:hAnsi="Times New Roman"/>
          <w:sz w:val="24"/>
          <w:szCs w:val="24"/>
          <w:lang w:eastAsia="ru-RU"/>
        </w:rPr>
        <w:tab/>
      </w:r>
      <w:r w:rsidRPr="00C50F7B">
        <w:rPr>
          <w:rFonts w:ascii="Times New Roman" w:hAnsi="Times New Roman"/>
          <w:sz w:val="24"/>
          <w:szCs w:val="24"/>
          <w:lang w:eastAsia="ru-RU"/>
        </w:rPr>
        <w:tab/>
      </w:r>
    </w:p>
    <w:p w:rsidR="006C3C3B" w:rsidRDefault="006C3C3B" w:rsidP="00C126AA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3C3B" w:rsidRPr="00C50F7B" w:rsidRDefault="006C3C3B" w:rsidP="00C126AA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b/>
          <w:sz w:val="24"/>
          <w:szCs w:val="24"/>
          <w:lang w:eastAsia="ru-RU"/>
        </w:rPr>
        <w:t>1. О</w:t>
      </w:r>
      <w:r w:rsidRPr="00C50F7B">
        <w:rPr>
          <w:rFonts w:ascii="Times New Roman" w:hAnsi="Times New Roman"/>
          <w:b/>
          <w:sz w:val="25"/>
          <w:szCs w:val="25"/>
          <w:lang w:eastAsia="ru-RU"/>
        </w:rPr>
        <w:t>бщая информация</w:t>
      </w:r>
    </w:p>
    <w:p w:rsidR="006C3C3B" w:rsidRPr="00C96C5F" w:rsidRDefault="006C3C3B" w:rsidP="00C126A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>Проверка осуществляется в с</w:t>
      </w:r>
      <w:r>
        <w:rPr>
          <w:rFonts w:ascii="Times New Roman" w:hAnsi="Times New Roman"/>
          <w:sz w:val="24"/>
          <w:szCs w:val="24"/>
          <w:lang w:eastAsia="ru-RU"/>
        </w:rPr>
        <w:t xml:space="preserve">оответствии со ст.264.4 БК РФ, </w:t>
      </w:r>
      <w:r w:rsidRPr="00C50F7B">
        <w:rPr>
          <w:rFonts w:ascii="Times New Roman" w:hAnsi="Times New Roman"/>
          <w:sz w:val="24"/>
          <w:szCs w:val="24"/>
          <w:lang w:eastAsia="ru-RU"/>
        </w:rPr>
        <w:t>по единым методологиям и стандартам бюджетного учета и бюджетной отчетности, установленным Министерством финансов РФ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34900">
        <w:rPr>
          <w:rFonts w:ascii="Times New Roman" w:hAnsi="Times New Roman"/>
        </w:rPr>
        <w:t xml:space="preserve"> </w:t>
      </w:r>
      <w:r w:rsidRPr="00C96C5F">
        <w:rPr>
          <w:rFonts w:ascii="Times New Roman" w:hAnsi="Times New Roman"/>
          <w:sz w:val="24"/>
          <w:szCs w:val="24"/>
        </w:rPr>
        <w:t>пунктом 10 статьи 5 Положения «О Счетной палате муниципального образования «Томский район», статьей 8 Регламента Счетной палаты муниципального образования «Томский район»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</w:t>
      </w:r>
      <w:r w:rsidRPr="00C96C5F">
        <w:rPr>
          <w:rFonts w:ascii="Times New Roman" w:hAnsi="Times New Roman"/>
          <w:sz w:val="24"/>
          <w:szCs w:val="24"/>
          <w:lang w:eastAsia="ru-RU"/>
        </w:rPr>
        <w:t>.</w:t>
      </w:r>
    </w:p>
    <w:p w:rsidR="006C3C3B" w:rsidRDefault="006C3C3B" w:rsidP="005C48F5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 xml:space="preserve">Проверка проведена в период с 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Pr="00C50F7B">
        <w:rPr>
          <w:rFonts w:ascii="Times New Roman" w:hAnsi="Times New Roman"/>
          <w:sz w:val="24"/>
          <w:szCs w:val="24"/>
          <w:lang w:eastAsia="ru-RU"/>
        </w:rPr>
        <w:t>.04.201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C50F7B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50F7B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50F7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2D3D">
        <w:rPr>
          <w:rFonts w:ascii="Times New Roman" w:hAnsi="Times New Roman"/>
          <w:sz w:val="24"/>
          <w:szCs w:val="24"/>
          <w:lang w:eastAsia="ru-RU"/>
        </w:rPr>
        <w:t>По результатам проверки оформлен</w:t>
      </w:r>
      <w:r>
        <w:rPr>
          <w:rFonts w:ascii="Times New Roman" w:hAnsi="Times New Roman"/>
          <w:sz w:val="24"/>
          <w:szCs w:val="24"/>
          <w:lang w:eastAsia="ru-RU"/>
        </w:rPr>
        <w:t>о заключение</w:t>
      </w:r>
      <w:r w:rsidRPr="00252D3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252D3D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52D3D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52D3D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6C3C3B" w:rsidRPr="00C50F7B" w:rsidRDefault="006C3C3B" w:rsidP="005C48F5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6C3C3B" w:rsidRPr="00C50F7B" w:rsidRDefault="006C3C3B" w:rsidP="005C48F5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</w:t>
      </w: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1E2033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E2033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E2033">
        <w:rPr>
          <w:rFonts w:ascii="Times New Roman" w:hAnsi="Times New Roman"/>
          <w:sz w:val="24"/>
          <w:szCs w:val="24"/>
          <w:lang w:eastAsia="ru-RU"/>
        </w:rPr>
        <w:t>0 № 1</w:t>
      </w:r>
      <w:r>
        <w:rPr>
          <w:rFonts w:ascii="Times New Roman" w:hAnsi="Times New Roman"/>
          <w:sz w:val="24"/>
          <w:szCs w:val="24"/>
          <w:lang w:eastAsia="ru-RU"/>
        </w:rPr>
        <w:t>91</w:t>
      </w:r>
      <w:r w:rsidRPr="001E2033">
        <w:rPr>
          <w:rFonts w:ascii="Times New Roman" w:hAnsi="Times New Roman"/>
          <w:sz w:val="24"/>
          <w:szCs w:val="24"/>
          <w:lang w:eastAsia="ru-RU"/>
        </w:rPr>
        <w:t xml:space="preserve">н </w:t>
      </w:r>
      <w:r>
        <w:rPr>
          <w:rFonts w:ascii="Times New Roman" w:hAnsi="Times New Roman"/>
          <w:sz w:val="24"/>
          <w:szCs w:val="24"/>
          <w:lang w:eastAsia="ru-RU"/>
        </w:rPr>
        <w:t>(в редакции от 26.10.2012)</w:t>
      </w:r>
      <w:r w:rsidRPr="00BE2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0F7B">
        <w:rPr>
          <w:rFonts w:ascii="Times New Roman" w:hAnsi="Times New Roman"/>
          <w:sz w:val="24"/>
          <w:szCs w:val="24"/>
          <w:lang w:eastAsia="ru-RU"/>
        </w:rPr>
        <w:t>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Инструкция).</w:t>
      </w:r>
    </w:p>
    <w:p w:rsidR="006C3C3B" w:rsidRDefault="006C3C3B" w:rsidP="005C48F5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</w:t>
      </w:r>
      <w:r w:rsidRPr="00792F9F">
        <w:rPr>
          <w:rFonts w:ascii="Times New Roman" w:hAnsi="Times New Roman"/>
          <w:sz w:val="24"/>
          <w:szCs w:val="24"/>
          <w:lang w:eastAsia="ru-RU"/>
        </w:rPr>
        <w:t>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Межениновского сельского поселения за 2013 год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ешение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Межениновского </w:t>
      </w:r>
      <w:r w:rsidRPr="00CF1E41">
        <w:rPr>
          <w:rFonts w:ascii="Times New Roman" w:hAnsi="Times New Roman"/>
          <w:sz w:val="24"/>
          <w:szCs w:val="24"/>
          <w:lang w:eastAsia="ru-RU"/>
        </w:rPr>
        <w:t>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113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ешение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Межениновского 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001FBE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01FBE">
        <w:rPr>
          <w:rFonts w:ascii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F1E4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по поступлениям и выбытиям на 01.01.2013 года Управления Федерального казначейства по Томской области (форма 05031</w:t>
      </w:r>
      <w:r w:rsidRPr="0012293A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>), баланс по операциям кассового обслуживания исполнения бюджета (0503150) Управления Федерального казначейства по Томской области, бюджетная отчетность об исполнении бюджета Межениновского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за 2012 год (бюджетная отчетность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5A0AB5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как финансового органа) </w:t>
      </w:r>
      <w:r w:rsidRPr="005A0AB5">
        <w:rPr>
          <w:rFonts w:ascii="Times New Roman" w:hAnsi="Times New Roman"/>
          <w:sz w:val="24"/>
          <w:lang w:eastAsia="ru-RU"/>
        </w:rPr>
        <w:t>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C3C3B" w:rsidRDefault="006C3C3B" w:rsidP="00ED741D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C3C3B" w:rsidRDefault="006C3C3B" w:rsidP="00ED741D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910C8B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Проверкой установлено:</w:t>
      </w:r>
    </w:p>
    <w:p w:rsidR="006C3C3B" w:rsidRDefault="006C3C3B" w:rsidP="007D7EB2">
      <w:pPr>
        <w:pStyle w:val="ConsPlusNormal"/>
        <w:ind w:left="-709"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Межениновского 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>.12.20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113 и</w:t>
      </w:r>
      <w:r w:rsidRPr="00CF1E4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001FBE">
        <w:rPr>
          <w:rFonts w:ascii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01FBE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утвержден </w:t>
      </w:r>
      <w:r w:rsidRPr="007D7EB2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7D7EB2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на 2012 год,</w:t>
      </w:r>
      <w:r w:rsidRPr="0040040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требованием </w:t>
      </w:r>
      <w:r>
        <w:rPr>
          <w:rFonts w:ascii="Times New Roman" w:hAnsi="Times New Roman" w:cs="Times New Roman"/>
          <w:sz w:val="24"/>
          <w:szCs w:val="24"/>
        </w:rPr>
        <w:t>п.2 ст.20 Бюджетного кодекса РФ</w:t>
      </w:r>
      <w:r w:rsidRPr="001947A1">
        <w:rPr>
          <w:rFonts w:ascii="Times New Roman" w:hAnsi="Times New Roman" w:cs="Times New Roman"/>
          <w:sz w:val="24"/>
          <w:szCs w:val="24"/>
        </w:rPr>
        <w:t>.</w:t>
      </w:r>
    </w:p>
    <w:p w:rsidR="006C3C3B" w:rsidRDefault="006C3C3B" w:rsidP="00B307EF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5C0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Совета Межениновского </w:t>
      </w:r>
      <w:r w:rsidRPr="00806F1C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C6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001FBE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01FBE">
        <w:rPr>
          <w:rFonts w:ascii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sz w:val="24"/>
          <w:szCs w:val="24"/>
          <w:lang w:eastAsia="ru-RU"/>
        </w:rPr>
        <w:t xml:space="preserve">13 (приложение №1) </w:t>
      </w:r>
      <w:r w:rsidRPr="00BC65C0">
        <w:rPr>
          <w:rFonts w:ascii="Times New Roman" w:hAnsi="Times New Roman"/>
          <w:sz w:val="24"/>
          <w:szCs w:val="24"/>
          <w:lang w:eastAsia="ru-RU"/>
        </w:rPr>
        <w:t xml:space="preserve">за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Межениновского </w:t>
      </w:r>
      <w:r w:rsidRPr="00BC65C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качестве главного администратора доходов местного бюджета закреплены  источники доходов.</w:t>
      </w:r>
    </w:p>
    <w:p w:rsidR="006C3C3B" w:rsidRPr="00806F1C" w:rsidRDefault="006C3C3B" w:rsidP="00806F1C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806F1C"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Межениновского 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001FBE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01FBE">
        <w:rPr>
          <w:rFonts w:ascii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Решение Совета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CF1E41">
        <w:rPr>
          <w:rFonts w:ascii="Times New Roman" w:hAnsi="Times New Roman"/>
          <w:sz w:val="24"/>
          <w:szCs w:val="24"/>
          <w:lang w:eastAsia="ru-RU"/>
        </w:rPr>
        <w:t>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113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Межениновского </w:t>
      </w:r>
      <w:r w:rsidRPr="00806F1C">
        <w:rPr>
          <w:rFonts w:ascii="Times New Roman" w:hAnsi="Times New Roman"/>
          <w:sz w:val="24"/>
          <w:szCs w:val="24"/>
          <w:lang w:eastAsia="ru-RU"/>
        </w:rPr>
        <w:t>сельского поселения на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 год» утвержден дефицит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>56</w:t>
      </w:r>
      <w:r w:rsidRPr="00806F1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 тыс. руб., установлены  </w:t>
      </w:r>
      <w:r w:rsidRPr="00806F1C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 в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 соответствии с требованиями статьи 184.1 Бюджетного кодекса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9)</w:t>
      </w:r>
      <w:r w:rsidRPr="00806F1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C3C3B" w:rsidRDefault="006C3C3B" w:rsidP="00B307EF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3C3B" w:rsidRPr="00D31CFC" w:rsidRDefault="006C3C3B" w:rsidP="00400400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2</w:t>
      </w:r>
      <w:r w:rsidRPr="00D31CFC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. Состав и содержание форм отчетности</w:t>
      </w:r>
    </w:p>
    <w:p w:rsidR="006C3C3B" w:rsidRDefault="006C3C3B" w:rsidP="0031026A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31CFC">
        <w:rPr>
          <w:rFonts w:ascii="Times New Roman" w:hAnsi="Times New Roman"/>
          <w:sz w:val="24"/>
          <w:szCs w:val="24"/>
          <w:lang w:eastAsia="ru-RU"/>
        </w:rPr>
        <w:t>В соответствии со ст.264.5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6C3C3B" w:rsidRPr="007D7EB2" w:rsidRDefault="006C3C3B" w:rsidP="00B5288D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C2DC8">
        <w:rPr>
          <w:rFonts w:ascii="Times New Roman" w:hAnsi="Times New Roman" w:cs="Calibri"/>
          <w:sz w:val="24"/>
          <w:szCs w:val="24"/>
          <w:lang w:eastAsia="ar-SA"/>
        </w:rPr>
        <w:t xml:space="preserve">Бюджетная отчетность  представлена в Счетную палату в сброшюрованном и  пронумерованном виде в соответствии с требованием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Министерства финансов РФ  от </w:t>
      </w:r>
      <w:r>
        <w:rPr>
          <w:rFonts w:ascii="Times New Roman" w:hAnsi="Times New Roman" w:cs="Calibri"/>
          <w:sz w:val="24"/>
          <w:szCs w:val="24"/>
          <w:lang w:eastAsia="ar-SA"/>
        </w:rPr>
        <w:t>28</w:t>
      </w:r>
      <w:r w:rsidRPr="000C2DC8">
        <w:rPr>
          <w:rFonts w:ascii="Times New Roman" w:hAnsi="Times New Roman" w:cs="Calibri"/>
          <w:sz w:val="24"/>
          <w:szCs w:val="24"/>
          <w:lang w:eastAsia="ar-SA"/>
        </w:rPr>
        <w:t>.1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0C2DC8">
        <w:rPr>
          <w:rFonts w:ascii="Times New Roman" w:hAnsi="Times New Roman" w:cs="Calibri"/>
          <w:sz w:val="24"/>
          <w:szCs w:val="24"/>
          <w:lang w:eastAsia="ar-SA"/>
        </w:rPr>
        <w:t>.20</w:t>
      </w:r>
      <w:r>
        <w:rPr>
          <w:rFonts w:ascii="Times New Roman" w:hAnsi="Times New Roman" w:cs="Calibri"/>
          <w:sz w:val="24"/>
          <w:szCs w:val="24"/>
          <w:lang w:eastAsia="ar-SA"/>
        </w:rPr>
        <w:t>1</w:t>
      </w:r>
      <w:r w:rsidRPr="000C2DC8">
        <w:rPr>
          <w:rFonts w:ascii="Times New Roman" w:hAnsi="Times New Roman" w:cs="Calibri"/>
          <w:sz w:val="24"/>
          <w:szCs w:val="24"/>
          <w:lang w:eastAsia="ar-SA"/>
        </w:rPr>
        <w:t>0 № 1</w:t>
      </w:r>
      <w:r>
        <w:rPr>
          <w:rFonts w:ascii="Times New Roman" w:hAnsi="Times New Roman" w:cs="Calibri"/>
          <w:sz w:val="24"/>
          <w:szCs w:val="24"/>
          <w:lang w:eastAsia="ar-SA"/>
        </w:rPr>
        <w:t>91</w:t>
      </w:r>
      <w:r w:rsidRPr="000C2DC8">
        <w:rPr>
          <w:rFonts w:ascii="Times New Roman" w:hAnsi="Times New Roman" w:cs="Calibri"/>
          <w:sz w:val="24"/>
          <w:szCs w:val="24"/>
          <w:lang w:eastAsia="ar-SA"/>
        </w:rPr>
        <w:t>н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(в редакции </w:t>
      </w:r>
      <w:r>
        <w:rPr>
          <w:rFonts w:ascii="Times New Roman" w:hAnsi="Times New Roman"/>
          <w:sz w:val="24"/>
          <w:szCs w:val="24"/>
          <w:lang w:eastAsia="ru-RU"/>
        </w:rPr>
        <w:t>от 26.10.2012</w:t>
      </w:r>
      <w:r>
        <w:rPr>
          <w:rFonts w:ascii="Times New Roman" w:hAnsi="Times New Roman" w:cs="Calibri"/>
          <w:sz w:val="24"/>
          <w:szCs w:val="24"/>
          <w:lang w:eastAsia="ar-SA"/>
        </w:rPr>
        <w:t>)</w:t>
      </w:r>
      <w:r w:rsidRPr="000C2DC8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</w:p>
    <w:p w:rsidR="006C3C3B" w:rsidRPr="003D141B" w:rsidRDefault="006C3C3B" w:rsidP="002372DD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D141B"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бюджета» </w:t>
      </w:r>
      <w:r w:rsidRPr="003D141B">
        <w:rPr>
          <w:rFonts w:ascii="Times New Roman" w:hAnsi="Times New Roman"/>
          <w:sz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3D141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D141B">
        <w:rPr>
          <w:rFonts w:ascii="Times New Roman" w:hAnsi="Times New Roman"/>
          <w:sz w:val="24"/>
          <w:lang w:eastAsia="ru-RU"/>
        </w:rPr>
        <w:t xml:space="preserve">  </w:t>
      </w:r>
      <w:r w:rsidRPr="003D141B"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6C3C3B" w:rsidRDefault="006C3C3B" w:rsidP="002372DD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3D141B"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0503150 «Баланс по операциям кассового обслуживания исполнения бюджета» на 01.01.2012г. Управления Федерального казначейства по Томской области и формы 0503120 «Баланс исполнения бюджета» на 01.01.2012г. </w:t>
      </w:r>
      <w:r w:rsidRPr="003D141B">
        <w:rPr>
          <w:rFonts w:ascii="Times New Roman" w:hAnsi="Times New Roman"/>
          <w:sz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3D1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41B">
        <w:rPr>
          <w:rFonts w:ascii="Times New Roman" w:hAnsi="Times New Roman"/>
          <w:sz w:val="24"/>
          <w:lang w:eastAsia="ru-RU"/>
        </w:rPr>
        <w:t xml:space="preserve"> </w:t>
      </w:r>
      <w:r w:rsidRPr="003D141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D141B">
        <w:rPr>
          <w:rFonts w:ascii="Times New Roman" w:hAnsi="Times New Roman"/>
          <w:sz w:val="24"/>
          <w:lang w:eastAsia="ru-RU"/>
        </w:rPr>
        <w:t xml:space="preserve">  </w:t>
      </w:r>
      <w:r w:rsidRPr="003D141B">
        <w:rPr>
          <w:rFonts w:ascii="Times New Roman" w:hAnsi="Times New Roman"/>
          <w:sz w:val="24"/>
          <w:szCs w:val="24"/>
        </w:rPr>
        <w:t>установлено соответствие сумм.</w:t>
      </w:r>
      <w:r w:rsidRPr="00447068">
        <w:rPr>
          <w:rFonts w:ascii="Times New Roman" w:hAnsi="Times New Roman"/>
          <w:sz w:val="24"/>
          <w:szCs w:val="24"/>
        </w:rPr>
        <w:t xml:space="preserve"> </w:t>
      </w:r>
    </w:p>
    <w:p w:rsidR="006C3C3B" w:rsidRPr="003D1FD5" w:rsidRDefault="006C3C3B" w:rsidP="00BF0F47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</w:rPr>
      </w:pPr>
      <w:r w:rsidRPr="003D1FD5">
        <w:rPr>
          <w:rFonts w:ascii="Times New Roman" w:hAnsi="Times New Roman"/>
          <w:sz w:val="24"/>
        </w:rPr>
        <w:t>В составе годовой бюджетной отчетности отсутствует форма 0503166 «</w:t>
      </w:r>
      <w:r w:rsidRPr="003D1FD5">
        <w:rPr>
          <w:rFonts w:ascii="Times New Roman" w:hAnsi="Times New Roman"/>
          <w:sz w:val="24"/>
          <w:szCs w:val="24"/>
        </w:rPr>
        <w:t>Сведения об исполнении мероприятий в рамках целевых программ».</w:t>
      </w:r>
    </w:p>
    <w:p w:rsidR="006C3C3B" w:rsidRDefault="006C3C3B" w:rsidP="00BF0F47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D1FD5">
      <w:pPr>
        <w:spacing w:after="0" w:line="240" w:lineRule="auto"/>
        <w:ind w:left="-709" w:right="-9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77B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>Общие параметры исполнения бюджета</w:t>
      </w:r>
    </w:p>
    <w:p w:rsidR="006C3C3B" w:rsidRPr="00B67ABC" w:rsidRDefault="006C3C3B" w:rsidP="00B234E7">
      <w:pPr>
        <w:spacing w:after="0" w:line="240" w:lineRule="auto"/>
        <w:ind w:left="-709" w:right="-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ABC">
        <w:rPr>
          <w:rFonts w:ascii="Times New Roman" w:hAnsi="Times New Roman"/>
          <w:sz w:val="24"/>
          <w:szCs w:val="24"/>
          <w:lang w:eastAsia="ru-RU"/>
        </w:rPr>
        <w:t xml:space="preserve">Плановые показатели бюджета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3D1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ABC">
        <w:rPr>
          <w:rFonts w:ascii="Times New Roman" w:hAnsi="Times New Roman"/>
          <w:sz w:val="24"/>
          <w:szCs w:val="24"/>
          <w:lang w:eastAsia="ru-RU"/>
        </w:rPr>
        <w:t>сельского поселения по доходам  в целом в течение  201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года были увеличены на </w:t>
      </w:r>
      <w:r>
        <w:rPr>
          <w:rFonts w:ascii="Times New Roman" w:hAnsi="Times New Roman"/>
          <w:sz w:val="24"/>
          <w:szCs w:val="24"/>
          <w:lang w:eastAsia="ru-RU"/>
        </w:rPr>
        <w:t>2826,1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тыс. руб., или на </w:t>
      </w:r>
      <w:r>
        <w:rPr>
          <w:rFonts w:ascii="Times New Roman" w:hAnsi="Times New Roman"/>
          <w:sz w:val="24"/>
          <w:szCs w:val="24"/>
          <w:lang w:eastAsia="ru-RU"/>
        </w:rPr>
        <w:t>53,2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%. Фактическое исполнение доходной части бюджета  от плановых показателей, утвержденных последней редакцией бюджета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3D1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составило по доходам </w:t>
      </w:r>
      <w:r>
        <w:rPr>
          <w:rFonts w:ascii="Times New Roman" w:hAnsi="Times New Roman"/>
          <w:sz w:val="24"/>
          <w:szCs w:val="24"/>
          <w:lang w:eastAsia="ru-RU"/>
        </w:rPr>
        <w:t>102,0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%, что в сумме составляет </w:t>
      </w:r>
      <w:r>
        <w:rPr>
          <w:rFonts w:ascii="Times New Roman" w:hAnsi="Times New Roman"/>
          <w:sz w:val="24"/>
          <w:szCs w:val="24"/>
          <w:lang w:eastAsia="ru-RU"/>
        </w:rPr>
        <w:t>8273,3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тыс. руб. и по расходам 9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67A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%, что в сумме составляет </w:t>
      </w:r>
      <w:r>
        <w:rPr>
          <w:rFonts w:ascii="Times New Roman" w:hAnsi="Times New Roman"/>
          <w:sz w:val="24"/>
          <w:szCs w:val="24"/>
          <w:lang w:eastAsia="ru-RU"/>
        </w:rPr>
        <w:t>7886,9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Дефицит бюджета на 01.01.2013 г. составил в сумме 56,0 тыс. рублей.</w:t>
      </w:r>
    </w:p>
    <w:p w:rsidR="006C3C3B" w:rsidRDefault="006C3C3B" w:rsidP="00B234E7">
      <w:pPr>
        <w:spacing w:after="0" w:line="240" w:lineRule="auto"/>
        <w:ind w:left="-709" w:right="-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7ABC">
        <w:rPr>
          <w:rFonts w:ascii="Times New Roman" w:hAnsi="Times New Roman"/>
          <w:sz w:val="24"/>
          <w:szCs w:val="24"/>
          <w:lang w:eastAsia="ru-RU"/>
        </w:rPr>
        <w:t xml:space="preserve">В структуре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3D1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ABC">
        <w:rPr>
          <w:rFonts w:ascii="Times New Roman" w:hAnsi="Times New Roman"/>
          <w:sz w:val="24"/>
          <w:szCs w:val="24"/>
          <w:lang w:eastAsia="ru-RU"/>
        </w:rPr>
        <w:t>сельского поселения поступления по налог</w:t>
      </w:r>
      <w:r>
        <w:rPr>
          <w:rFonts w:ascii="Times New Roman" w:hAnsi="Times New Roman"/>
          <w:sz w:val="24"/>
          <w:szCs w:val="24"/>
          <w:lang w:eastAsia="ru-RU"/>
        </w:rPr>
        <w:t>овым доходам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>
        <w:rPr>
          <w:rFonts w:ascii="Times New Roman" w:hAnsi="Times New Roman"/>
          <w:sz w:val="24"/>
          <w:szCs w:val="24"/>
          <w:lang w:eastAsia="ru-RU"/>
        </w:rPr>
        <w:t>15,4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%, что в сумме составляет </w:t>
      </w:r>
      <w:r>
        <w:rPr>
          <w:rFonts w:ascii="Times New Roman" w:hAnsi="Times New Roman"/>
          <w:sz w:val="24"/>
          <w:szCs w:val="24"/>
          <w:lang w:eastAsia="ru-RU"/>
        </w:rPr>
        <w:t>1275,2</w:t>
      </w:r>
      <w:r w:rsidRPr="00B67ABC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6C3C3B" w:rsidRDefault="006C3C3B" w:rsidP="00B234E7">
      <w:pPr>
        <w:spacing w:after="0" w:line="240" w:lineRule="auto"/>
        <w:ind w:left="-709" w:right="-57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Pr="003D49D8" w:rsidRDefault="006C3C3B" w:rsidP="00ED3265">
      <w:pPr>
        <w:tabs>
          <w:tab w:val="left" w:pos="2552"/>
        </w:tabs>
        <w:spacing w:after="0" w:line="240" w:lineRule="auto"/>
        <w:ind w:left="-709" w:right="-97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бюджета </w:t>
      </w:r>
      <w:r w:rsidRPr="00854A65">
        <w:rPr>
          <w:rFonts w:ascii="Times New Roman" w:hAnsi="Times New Roman"/>
          <w:b/>
          <w:sz w:val="24"/>
          <w:szCs w:val="24"/>
          <w:lang w:eastAsia="ru-RU"/>
        </w:rPr>
        <w:t>Межениновского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расходам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>за 201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 год по функциональной классификации                                                                                            </w:t>
      </w:r>
      <w:r w:rsidRPr="00ED3265">
        <w:rPr>
          <w:rFonts w:ascii="Times New Roman" w:hAnsi="Times New Roman"/>
          <w:sz w:val="24"/>
          <w:szCs w:val="24"/>
          <w:lang w:eastAsia="ru-RU"/>
        </w:rPr>
        <w:t>Таблица 1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D3265">
        <w:rPr>
          <w:rFonts w:ascii="Times New Roman" w:hAnsi="Times New Roman"/>
          <w:sz w:val="24"/>
          <w:szCs w:val="24"/>
          <w:lang w:eastAsia="ru-RU"/>
        </w:rPr>
        <w:t>тыс</w:t>
      </w:r>
      <w:r w:rsidRPr="003D49D8">
        <w:rPr>
          <w:rFonts w:ascii="Times New Roman" w:hAnsi="Times New Roman"/>
          <w:sz w:val="24"/>
          <w:szCs w:val="24"/>
          <w:lang w:eastAsia="ru-RU"/>
        </w:rPr>
        <w:t>. руб.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95"/>
        <w:gridCol w:w="1080"/>
        <w:gridCol w:w="1080"/>
        <w:gridCol w:w="1080"/>
        <w:gridCol w:w="900"/>
        <w:gridCol w:w="1080"/>
        <w:gridCol w:w="1080"/>
      </w:tblGrid>
      <w:tr w:rsidR="006C3C3B" w:rsidRPr="003C0660" w:rsidTr="00A91C90">
        <w:tc>
          <w:tcPr>
            <w:tcW w:w="2694" w:type="dxa"/>
            <w:vMerge w:val="restart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975" w:type="dxa"/>
            <w:gridSpan w:val="2"/>
          </w:tcPr>
          <w:p w:rsidR="006C3C3B" w:rsidRPr="00ED3265" w:rsidRDefault="006C3C3B" w:rsidP="00854A6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Утверждено на 2012 год (решение Совета №113 от 27.12.2011)</w:t>
            </w:r>
          </w:p>
        </w:tc>
        <w:tc>
          <w:tcPr>
            <w:tcW w:w="2160" w:type="dxa"/>
            <w:gridSpan w:val="2"/>
          </w:tcPr>
          <w:p w:rsidR="006C3C3B" w:rsidRPr="00ED3265" w:rsidRDefault="006C3C3B" w:rsidP="00854A6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Утверждено на 2012 год (решение Совета  № 16 от 29.12.2012)</w:t>
            </w:r>
          </w:p>
        </w:tc>
        <w:tc>
          <w:tcPr>
            <w:tcW w:w="1980" w:type="dxa"/>
            <w:gridSpan w:val="2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Фактически исполнено за 2012 год</w:t>
            </w:r>
          </w:p>
        </w:tc>
        <w:tc>
          <w:tcPr>
            <w:tcW w:w="1080" w:type="dxa"/>
            <w:vMerge w:val="restart"/>
          </w:tcPr>
          <w:p w:rsidR="006C3C3B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% исполне</w:t>
            </w:r>
          </w:p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ния</w:t>
            </w:r>
          </w:p>
        </w:tc>
      </w:tr>
      <w:tr w:rsidR="006C3C3B" w:rsidRPr="003C0660" w:rsidTr="00A91C90">
        <w:tc>
          <w:tcPr>
            <w:tcW w:w="2694" w:type="dxa"/>
            <w:vMerge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доля %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 xml:space="preserve"> доля %</w:t>
            </w:r>
          </w:p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доля %</w:t>
            </w:r>
          </w:p>
        </w:tc>
        <w:tc>
          <w:tcPr>
            <w:tcW w:w="1080" w:type="dxa"/>
            <w:vMerge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Общегосударственные вопросы             (0100)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2792,0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2951,4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2940,6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37,3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99,6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Национальная оборона  (0200)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154,3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154,3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85,7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85,6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</w:rPr>
              <w:t>Национальная экономика                            (0400)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522,0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9,8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1860,1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22,7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1689,1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21,4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90,8</w:t>
            </w:r>
          </w:p>
        </w:tc>
      </w:tr>
      <w:tr w:rsidR="006C3C3B" w:rsidRPr="003C0660" w:rsidTr="00A91C90">
        <w:trPr>
          <w:trHeight w:val="618"/>
        </w:trPr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Жилищно-коммунальное хозяйство           (0500)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340,7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6,4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1004,7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966,0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96,2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Культура, кинематография       (0800)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1320,0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24,8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881</w:t>
            </w:r>
            <w:r w:rsidRPr="00ED326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791,1</w:t>
            </w:r>
          </w:p>
        </w:tc>
        <w:tc>
          <w:tcPr>
            <w:tcW w:w="1080" w:type="dxa"/>
          </w:tcPr>
          <w:p w:rsidR="006C3C3B" w:rsidRPr="00ED3265" w:rsidRDefault="006C3C3B" w:rsidP="00DD5EA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22,7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92,6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Физическая культура и спорт       (1100)</w:t>
            </w:r>
          </w:p>
        </w:tc>
        <w:tc>
          <w:tcPr>
            <w:tcW w:w="895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170,0</w:t>
            </w:r>
          </w:p>
        </w:tc>
        <w:tc>
          <w:tcPr>
            <w:tcW w:w="108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3,2</w:t>
            </w:r>
          </w:p>
        </w:tc>
        <w:tc>
          <w:tcPr>
            <w:tcW w:w="108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132,7</w:t>
            </w:r>
          </w:p>
        </w:tc>
        <w:tc>
          <w:tcPr>
            <w:tcW w:w="108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90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132,7</w:t>
            </w:r>
          </w:p>
        </w:tc>
        <w:tc>
          <w:tcPr>
            <w:tcW w:w="108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1080" w:type="dxa"/>
          </w:tcPr>
          <w:p w:rsidR="006C3C3B" w:rsidRPr="00ED3265" w:rsidRDefault="006C3C3B" w:rsidP="009A0CF9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6C3C3B" w:rsidRPr="003C0660" w:rsidTr="00A91C90"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Межбюджетные трансферты  бюджетам субъектов РФ и муниципальных образований общего характера      (1400)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55,0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127,5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127,5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6C3C3B" w:rsidRPr="003C0660" w:rsidTr="00A91C90">
        <w:trPr>
          <w:trHeight w:val="717"/>
        </w:trPr>
        <w:tc>
          <w:tcPr>
            <w:tcW w:w="2694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95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5315,7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8197,8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0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7886,9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80" w:type="dxa"/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96,2</w:t>
            </w:r>
          </w:p>
        </w:tc>
      </w:tr>
    </w:tbl>
    <w:p w:rsidR="006C3C3B" w:rsidRDefault="006C3C3B" w:rsidP="00BF0F47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</w:rPr>
      </w:pPr>
    </w:p>
    <w:p w:rsidR="006C3C3B" w:rsidRDefault="006C3C3B" w:rsidP="00A4755D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FB3FA8">
        <w:rPr>
          <w:rFonts w:ascii="Times New Roman" w:hAnsi="Times New Roman" w:cs="Calibri"/>
          <w:sz w:val="24"/>
          <w:szCs w:val="24"/>
          <w:lang w:eastAsia="ar-SA"/>
        </w:rPr>
        <w:t xml:space="preserve">Решением Совета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 xml:space="preserve">сельского поселения (редакция </w:t>
      </w:r>
      <w:r>
        <w:rPr>
          <w:rFonts w:ascii="Times New Roman" w:hAnsi="Times New Roman" w:cs="Calibri"/>
          <w:sz w:val="24"/>
          <w:szCs w:val="24"/>
          <w:lang w:eastAsia="ar-SA"/>
        </w:rPr>
        <w:t>29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>.12.201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>) в 201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 xml:space="preserve"> году плановые показатели расхода бюджета увеличены на </w:t>
      </w:r>
      <w:r>
        <w:rPr>
          <w:rFonts w:ascii="Times New Roman" w:hAnsi="Times New Roman" w:cs="Calibri"/>
          <w:sz w:val="24"/>
          <w:szCs w:val="24"/>
          <w:lang w:eastAsia="ar-SA"/>
        </w:rPr>
        <w:t>2882,1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 xml:space="preserve"> тыс. руб., или на </w:t>
      </w:r>
      <w:r>
        <w:rPr>
          <w:rFonts w:ascii="Times New Roman" w:hAnsi="Times New Roman" w:cs="Calibri"/>
          <w:sz w:val="24"/>
          <w:szCs w:val="24"/>
          <w:lang w:eastAsia="ar-SA"/>
        </w:rPr>
        <w:t>54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>,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FB3FA8">
        <w:rPr>
          <w:rFonts w:ascii="Times New Roman" w:hAnsi="Times New Roman" w:cs="Calibri"/>
          <w:sz w:val="24"/>
          <w:szCs w:val="24"/>
          <w:lang w:eastAsia="ar-SA"/>
        </w:rPr>
        <w:t xml:space="preserve"> %. 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Соответственно в функциональной классификации расходов  изменены расходы </w:t>
      </w:r>
      <w:r>
        <w:rPr>
          <w:rFonts w:ascii="Times New Roman" w:hAnsi="Times New Roman" w:cs="Calibri"/>
          <w:sz w:val="24"/>
          <w:szCs w:val="24"/>
          <w:lang w:eastAsia="ar-SA"/>
        </w:rPr>
        <w:t>8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 показателей из </w:t>
      </w:r>
      <w:r>
        <w:rPr>
          <w:rFonts w:ascii="Times New Roman" w:hAnsi="Times New Roman" w:cs="Calibri"/>
          <w:sz w:val="24"/>
          <w:szCs w:val="24"/>
          <w:lang w:eastAsia="ar-SA"/>
        </w:rPr>
        <w:t>8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>. При увеличении плановых показателей расхода бюджета в течение 201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 года произошло уменьшение доли расходов на: общегосударственные вопросы – </w:t>
      </w:r>
      <w:r>
        <w:rPr>
          <w:rFonts w:ascii="Times New Roman" w:hAnsi="Times New Roman" w:cs="Calibri"/>
          <w:sz w:val="24"/>
          <w:szCs w:val="24"/>
          <w:lang w:eastAsia="ar-SA"/>
        </w:rPr>
        <w:t>15,2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%; </w:t>
      </w:r>
      <w:r>
        <w:rPr>
          <w:rFonts w:ascii="Times New Roman" w:hAnsi="Times New Roman" w:cs="Calibri"/>
          <w:sz w:val="24"/>
          <w:szCs w:val="24"/>
          <w:lang w:eastAsia="ar-SA"/>
        </w:rPr>
        <w:t>культура – 1,8%,</w:t>
      </w:r>
      <w:r w:rsidRPr="00A475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физическая культура и спорт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ar-SA"/>
        </w:rPr>
        <w:t>– 1,5%.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6E41">
        <w:rPr>
          <w:rFonts w:ascii="Times New Roman" w:hAnsi="Times New Roman" w:cs="Calibri"/>
          <w:sz w:val="24"/>
          <w:szCs w:val="24"/>
          <w:lang w:eastAsia="ar-SA"/>
        </w:rPr>
        <w:t>Значительное увеличение доли расходов пришлось на</w:t>
      </w:r>
      <w:r>
        <w:rPr>
          <w:rFonts w:ascii="Times New Roman" w:hAnsi="Times New Roman" w:cs="Calibri"/>
          <w:sz w:val="24"/>
          <w:szCs w:val="24"/>
          <w:lang w:eastAsia="ar-SA"/>
        </w:rPr>
        <w:t>:</w:t>
      </w:r>
      <w:r w:rsidRPr="00516E41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D49D8">
        <w:rPr>
          <w:rFonts w:ascii="Times New Roman" w:hAnsi="Times New Roman"/>
          <w:sz w:val="24"/>
          <w:szCs w:val="24"/>
        </w:rPr>
        <w:t xml:space="preserve">ациональная экономика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 11,6%, </w:t>
      </w:r>
      <w:r>
        <w:rPr>
          <w:rFonts w:ascii="Times New Roman" w:hAnsi="Times New Roman" w:cs="Calibri"/>
          <w:sz w:val="24"/>
          <w:szCs w:val="24"/>
          <w:lang w:eastAsia="ar-SA"/>
        </w:rPr>
        <w:t>м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 бюджетам субъектов РФ и муниципальных образований общего характера   </w:t>
      </w:r>
      <w:r>
        <w:rPr>
          <w:rFonts w:ascii="Times New Roman" w:hAnsi="Times New Roman"/>
          <w:sz w:val="24"/>
          <w:szCs w:val="24"/>
          <w:lang w:eastAsia="ru-RU"/>
        </w:rPr>
        <w:t>- 12,9%</w:t>
      </w:r>
      <w:r w:rsidRPr="00516E41">
        <w:rPr>
          <w:rFonts w:ascii="Times New Roman" w:hAnsi="Times New Roman" w:cs="Calibri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3D49D8">
        <w:rPr>
          <w:rFonts w:ascii="Times New Roman" w:hAnsi="Times New Roman"/>
          <w:sz w:val="24"/>
          <w:szCs w:val="24"/>
          <w:lang w:eastAsia="ru-RU"/>
        </w:rPr>
        <w:t>илищно-коммунальное хозяйство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– 5,9%</w:t>
      </w:r>
      <w:r>
        <w:rPr>
          <w:rFonts w:ascii="Times New Roman" w:hAnsi="Times New Roman"/>
          <w:sz w:val="24"/>
          <w:szCs w:val="24"/>
        </w:rPr>
        <w:t>.</w:t>
      </w:r>
      <w:r w:rsidRPr="003D49D8">
        <w:rPr>
          <w:rFonts w:ascii="Times New Roman" w:hAnsi="Times New Roman"/>
          <w:sz w:val="24"/>
          <w:szCs w:val="24"/>
        </w:rPr>
        <w:t xml:space="preserve">   </w:t>
      </w:r>
    </w:p>
    <w:p w:rsidR="006C3C3B" w:rsidRDefault="006C3C3B" w:rsidP="00145314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 году являлись: расходы на 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 xml:space="preserve">общегосударственные вопросы - </w:t>
      </w:r>
      <w:r>
        <w:rPr>
          <w:rFonts w:ascii="Times New Roman" w:hAnsi="Times New Roman" w:cs="Calibri"/>
          <w:sz w:val="24"/>
          <w:szCs w:val="24"/>
          <w:lang w:eastAsia="ar-SA"/>
        </w:rPr>
        <w:t>37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>,</w:t>
      </w:r>
      <w:r>
        <w:rPr>
          <w:rFonts w:ascii="Times New Roman" w:hAnsi="Times New Roman" w:cs="Calibri"/>
          <w:sz w:val="24"/>
          <w:szCs w:val="24"/>
          <w:lang w:eastAsia="ar-SA"/>
        </w:rPr>
        <w:t>3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>%;</w:t>
      </w:r>
      <w:r w:rsidRPr="001453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ar-SA"/>
        </w:rPr>
        <w:t>к</w:t>
      </w:r>
      <w:r w:rsidRPr="003D49D8">
        <w:rPr>
          <w:rFonts w:ascii="Times New Roman" w:hAnsi="Times New Roman"/>
          <w:sz w:val="24"/>
          <w:szCs w:val="24"/>
          <w:lang w:eastAsia="ru-RU"/>
        </w:rPr>
        <w:t>ультур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D49D8">
        <w:rPr>
          <w:rFonts w:ascii="Times New Roman" w:hAnsi="Times New Roman"/>
          <w:sz w:val="24"/>
          <w:szCs w:val="24"/>
          <w:lang w:eastAsia="ru-RU"/>
        </w:rPr>
        <w:t>, кинематографи</w:t>
      </w:r>
      <w:r>
        <w:rPr>
          <w:rFonts w:ascii="Times New Roman" w:hAnsi="Times New Roman"/>
          <w:sz w:val="24"/>
          <w:szCs w:val="24"/>
          <w:lang w:eastAsia="ru-RU"/>
        </w:rPr>
        <w:t>ю – 22,7%;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D49D8">
        <w:rPr>
          <w:rFonts w:ascii="Times New Roman" w:hAnsi="Times New Roman"/>
          <w:sz w:val="24"/>
          <w:szCs w:val="24"/>
        </w:rPr>
        <w:t xml:space="preserve">ациональная экономика </w:t>
      </w:r>
      <w:r>
        <w:rPr>
          <w:rFonts w:ascii="Times New Roman" w:hAnsi="Times New Roman"/>
          <w:sz w:val="24"/>
          <w:szCs w:val="24"/>
          <w:lang w:eastAsia="ru-RU"/>
        </w:rPr>
        <w:t>– 21,4%; ж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илищно-коммунальное хозяйство </w:t>
      </w:r>
      <w:r>
        <w:rPr>
          <w:rFonts w:ascii="Times New Roman" w:hAnsi="Times New Roman"/>
          <w:sz w:val="24"/>
          <w:szCs w:val="24"/>
          <w:lang w:eastAsia="ru-RU"/>
        </w:rPr>
        <w:t>– 12,3%.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C3C3B" w:rsidRDefault="006C3C3B" w:rsidP="00145314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3C3B" w:rsidRDefault="006C3C3B" w:rsidP="00CF0540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C3C3B" w:rsidRPr="00EC6FAF" w:rsidRDefault="006C3C3B" w:rsidP="00CF0540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EC6FAF">
        <w:rPr>
          <w:rFonts w:ascii="Times New Roman" w:hAnsi="Times New Roman" w:cs="Calibri"/>
          <w:b/>
          <w:sz w:val="24"/>
          <w:szCs w:val="24"/>
          <w:lang w:eastAsia="ar-SA"/>
        </w:rPr>
        <w:t xml:space="preserve">Расходы резервного фонда </w:t>
      </w:r>
      <w:r w:rsidRPr="000E46FE">
        <w:rPr>
          <w:rFonts w:ascii="Times New Roman" w:hAnsi="Times New Roman"/>
          <w:b/>
          <w:sz w:val="24"/>
          <w:szCs w:val="24"/>
          <w:lang w:eastAsia="ru-RU"/>
        </w:rPr>
        <w:t>Межениновского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Pr="00EC6FAF">
        <w:rPr>
          <w:rFonts w:ascii="Times New Roman" w:hAnsi="Times New Roman" w:cs="Calibri"/>
          <w:b/>
          <w:sz w:val="24"/>
          <w:szCs w:val="24"/>
          <w:lang w:eastAsia="ar-SA"/>
        </w:rPr>
        <w:t>сельского поселения в 201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2</w:t>
      </w:r>
      <w:r w:rsidRPr="00EC6FAF">
        <w:rPr>
          <w:rFonts w:ascii="Times New Roman" w:hAnsi="Times New Roman" w:cs="Calibri"/>
          <w:b/>
          <w:sz w:val="24"/>
          <w:szCs w:val="24"/>
          <w:lang w:eastAsia="ar-SA"/>
        </w:rPr>
        <w:t xml:space="preserve"> году                        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</w:t>
      </w:r>
      <w:r w:rsidRPr="00CF0540">
        <w:rPr>
          <w:rFonts w:ascii="Times New Roman" w:hAnsi="Times New Roman" w:cs="Calibri"/>
          <w:sz w:val="24"/>
          <w:szCs w:val="24"/>
          <w:lang w:eastAsia="ar-SA"/>
        </w:rPr>
        <w:t xml:space="preserve">Таблица </w:t>
      </w: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 w:rsidRPr="00EC6FAF">
        <w:rPr>
          <w:rFonts w:ascii="Times New Roman" w:hAnsi="Times New Roman" w:cs="Calibri"/>
          <w:b/>
          <w:sz w:val="24"/>
          <w:szCs w:val="24"/>
          <w:lang w:eastAsia="ar-SA"/>
        </w:rPr>
        <w:t>Таблица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Pr="00EC6FAF">
        <w:rPr>
          <w:rFonts w:ascii="Times New Roman" w:hAnsi="Times New Roman" w:cs="Calibri"/>
          <w:b/>
          <w:sz w:val="24"/>
          <w:szCs w:val="24"/>
          <w:lang w:eastAsia="ar-SA"/>
        </w:rPr>
        <w:t>2.</w:t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hAnsi="Times New Roman" w:cs="Calibri"/>
          <w:sz w:val="24"/>
          <w:szCs w:val="24"/>
          <w:lang w:eastAsia="ar-SA"/>
        </w:rPr>
        <w:tab/>
      </w:r>
      <w:r w:rsidRPr="00CF0540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EC6FAF">
        <w:rPr>
          <w:rFonts w:ascii="Times New Roman" w:hAnsi="Times New Roman" w:cs="Calibri"/>
          <w:sz w:val="24"/>
          <w:szCs w:val="24"/>
          <w:lang w:eastAsia="ar-SA"/>
        </w:rPr>
        <w:t>тыс. руб.</w:t>
      </w:r>
    </w:p>
    <w:tbl>
      <w:tblPr>
        <w:tblW w:w="9894" w:type="dxa"/>
        <w:tblInd w:w="-606" w:type="dxa"/>
        <w:tblLayout w:type="fixed"/>
        <w:tblLook w:val="0000"/>
      </w:tblPr>
      <w:tblGrid>
        <w:gridCol w:w="2874"/>
        <w:gridCol w:w="1080"/>
        <w:gridCol w:w="1260"/>
        <w:gridCol w:w="1620"/>
        <w:gridCol w:w="1440"/>
        <w:gridCol w:w="1620"/>
      </w:tblGrid>
      <w:tr w:rsidR="006C3C3B" w:rsidRPr="003C0660" w:rsidTr="00ED3265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ind w:left="650" w:right="-185" w:firstLine="59"/>
              <w:jc w:val="both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b/>
                <w:lang w:eastAsia="ar-SA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D3265">
              <w:rPr>
                <w:rFonts w:ascii="Times New Roman" w:hAnsi="Times New Roman" w:cs="Calibri"/>
                <w:lang w:eastAsia="ar-SA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ind w:right="-185"/>
              <w:jc w:val="both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Первая редакция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ind w:right="-185"/>
              <w:jc w:val="both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Последняя редакция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Исполнение за 201</w:t>
            </w:r>
            <w:r>
              <w:rPr>
                <w:rFonts w:ascii="Times New Roman" w:hAnsi="Times New Roman" w:cs="Calibri"/>
                <w:lang w:eastAsia="ar-SA"/>
              </w:rPr>
              <w:t>2</w:t>
            </w:r>
            <w:r w:rsidRPr="00ED3265">
              <w:rPr>
                <w:rFonts w:ascii="Times New Roman" w:hAnsi="Times New Roman" w:cs="Calibri"/>
                <w:lang w:eastAsia="ar-SA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Отклонения от исполнения плана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% исполнения к плану</w:t>
            </w:r>
          </w:p>
        </w:tc>
      </w:tr>
      <w:tr w:rsidR="006C3C3B" w:rsidRPr="003C0660" w:rsidTr="00ED3265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Общий объем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/>
                <w:lang w:eastAsia="ru-RU"/>
              </w:rPr>
              <w:t>5315,7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8197,8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7886,9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-310,9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B" w:rsidRPr="00ED3265" w:rsidRDefault="006C3C3B" w:rsidP="000314F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96,2</w:t>
            </w:r>
          </w:p>
        </w:tc>
      </w:tr>
      <w:tr w:rsidR="006C3C3B" w:rsidRPr="003C0660" w:rsidTr="00ED3265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100,0</w:t>
            </w:r>
          </w:p>
        </w:tc>
      </w:tr>
      <w:tr w:rsidR="006C3C3B" w:rsidRPr="003C0660" w:rsidTr="00ED3265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E00A1C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Процент от расходной части бюджета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0,4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0,4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ED3265">
              <w:rPr>
                <w:rFonts w:ascii="Times New Roman" w:hAnsi="Times New Roman" w:cs="Calibri"/>
                <w:lang w:eastAsia="ar-SA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3B" w:rsidRPr="00ED3265" w:rsidRDefault="006C3C3B" w:rsidP="000314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6C3C3B" w:rsidRDefault="006C3C3B" w:rsidP="00145314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9D8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6C3C3B" w:rsidRPr="00924A80" w:rsidRDefault="006C3C3B" w:rsidP="002C44BA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24A80">
        <w:rPr>
          <w:rFonts w:ascii="Times New Roman" w:hAnsi="Times New Roman" w:cs="Calibri"/>
          <w:sz w:val="24"/>
          <w:szCs w:val="24"/>
          <w:lang w:eastAsia="ar-SA"/>
        </w:rPr>
        <w:t>Общий объем расходов  резервного фонда составляет не более 0,</w:t>
      </w:r>
      <w:r>
        <w:rPr>
          <w:rFonts w:ascii="Times New Roman" w:hAnsi="Times New Roman" w:cs="Calibri"/>
          <w:sz w:val="24"/>
          <w:szCs w:val="24"/>
          <w:lang w:eastAsia="ar-SA"/>
        </w:rPr>
        <w:t>6</w:t>
      </w:r>
      <w:r w:rsidRPr="00924A80">
        <w:rPr>
          <w:rFonts w:ascii="Times New Roman" w:hAnsi="Times New Roman" w:cs="Calibri"/>
          <w:sz w:val="24"/>
          <w:szCs w:val="24"/>
          <w:lang w:eastAsia="ar-SA"/>
        </w:rPr>
        <w:t xml:space="preserve">%  от расходной части  бюджета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924A80">
        <w:rPr>
          <w:rFonts w:ascii="Times New Roman" w:hAnsi="Times New Roman" w:cs="Calibri"/>
          <w:sz w:val="24"/>
          <w:szCs w:val="24"/>
          <w:lang w:eastAsia="ar-SA"/>
        </w:rPr>
        <w:t xml:space="preserve">сельского поселения, что не превышает ограничений установленных п.3 ст. 81 Бюджетного кодекса РФ. В соответствии с п.5 ст.81 Бюджетного кодекса РФ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Межениновского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924A80">
        <w:rPr>
          <w:rFonts w:ascii="Times New Roman" w:hAnsi="Times New Roman" w:cs="Calibri"/>
          <w:sz w:val="24"/>
          <w:szCs w:val="24"/>
          <w:lang w:eastAsia="ar-SA"/>
        </w:rPr>
        <w:t xml:space="preserve">сельского поселения распределены бюджетные ассигнования резервного фонда в составе бюджета. </w:t>
      </w:r>
    </w:p>
    <w:p w:rsidR="006C3C3B" w:rsidRDefault="006C3C3B" w:rsidP="00145314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C3C3B" w:rsidRPr="00952E47" w:rsidRDefault="006C3C3B" w:rsidP="004E39AB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2E47"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6C3C3B" w:rsidRDefault="006C3C3B" w:rsidP="00F50E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3"/>
        <w:rPr>
          <w:rFonts w:ascii="Times New Roman" w:hAnsi="Times New Roman" w:cs="Calibri"/>
          <w:sz w:val="24"/>
          <w:szCs w:val="24"/>
          <w:lang w:eastAsia="ar-SA"/>
        </w:rPr>
      </w:pPr>
      <w:r w:rsidRPr="00952E47">
        <w:rPr>
          <w:rFonts w:ascii="Times New Roman" w:hAnsi="Times New Roman" w:cs="Calibri"/>
          <w:sz w:val="24"/>
          <w:szCs w:val="24"/>
          <w:lang w:eastAsia="ar-SA"/>
        </w:rPr>
        <w:t xml:space="preserve">Проведенная внешняя проверка годового </w:t>
      </w:r>
      <w:r w:rsidRPr="00952E47">
        <w:rPr>
          <w:rFonts w:ascii="Times New Roman" w:hAnsi="Times New Roman"/>
          <w:sz w:val="24"/>
          <w:szCs w:val="24"/>
        </w:rPr>
        <w:t xml:space="preserve">отчета об исполнении бюджета поселения </w:t>
      </w:r>
      <w:r w:rsidRPr="00952E47">
        <w:rPr>
          <w:rFonts w:ascii="Times New Roman" w:hAnsi="Times New Roman" w:cs="Calibri"/>
          <w:sz w:val="24"/>
          <w:szCs w:val="24"/>
          <w:lang w:eastAsia="ar-SA"/>
        </w:rPr>
        <w:t>дает основания полагать, что отчетность достоверна, за исключением обстоятельств, изложенных в заключении.</w:t>
      </w:r>
    </w:p>
    <w:p w:rsidR="006C3C3B" w:rsidRDefault="006C3C3B" w:rsidP="00F50EF4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firstLine="425"/>
        <w:jc w:val="both"/>
        <w:outlineLvl w:val="3"/>
        <w:rPr>
          <w:rFonts w:ascii="Times New Roman" w:hAnsi="Times New Roman"/>
          <w:sz w:val="24"/>
          <w:szCs w:val="24"/>
        </w:rPr>
      </w:pPr>
      <w:r w:rsidRPr="00D120DE">
        <w:rPr>
          <w:rFonts w:ascii="Times New Roman" w:hAnsi="Times New Roman"/>
          <w:sz w:val="24"/>
        </w:rPr>
        <w:t>В составе годовой бюджетной отчетности отсутствует форма 0503166 «</w:t>
      </w:r>
      <w:r w:rsidRPr="00D120DE">
        <w:rPr>
          <w:rFonts w:ascii="Times New Roman" w:hAnsi="Times New Roman"/>
          <w:sz w:val="24"/>
          <w:szCs w:val="24"/>
        </w:rPr>
        <w:t>Сведения об исполнении мероприятий в рамках целевых программ».</w:t>
      </w:r>
    </w:p>
    <w:p w:rsidR="006C3C3B" w:rsidRDefault="006C3C3B" w:rsidP="00F50EF4">
      <w:pPr>
        <w:pStyle w:val="ListParagraph"/>
        <w:suppressAutoHyphens/>
        <w:spacing w:after="0" w:line="240" w:lineRule="auto"/>
        <w:ind w:left="-709" w:firstLine="425"/>
        <w:jc w:val="both"/>
        <w:outlineLvl w:val="3"/>
        <w:rPr>
          <w:rFonts w:ascii="Times New Roman" w:hAnsi="Times New Roman"/>
          <w:sz w:val="24"/>
        </w:rPr>
      </w:pPr>
    </w:p>
    <w:p w:rsidR="006C3C3B" w:rsidRDefault="006C3C3B" w:rsidP="003A2EF9">
      <w:pPr>
        <w:pStyle w:val="ListParagraph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Инспек</w:t>
      </w:r>
      <w:r w:rsidRPr="00952E47">
        <w:rPr>
          <w:rFonts w:ascii="Times New Roman" w:hAnsi="Times New Roman" w:cs="Calibri"/>
          <w:sz w:val="24"/>
          <w:szCs w:val="24"/>
          <w:lang w:eastAsia="ar-SA"/>
        </w:rPr>
        <w:t xml:space="preserve">тор Счетной палаты                                                                 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</w:t>
      </w:r>
      <w:r w:rsidRPr="00952E47">
        <w:rPr>
          <w:rFonts w:ascii="Times New Roman" w:hAnsi="Times New Roman" w:cs="Calibri"/>
          <w:sz w:val="24"/>
          <w:szCs w:val="24"/>
          <w:lang w:eastAsia="ar-SA"/>
        </w:rPr>
        <w:t xml:space="preserve">  И.</w:t>
      </w:r>
      <w:r>
        <w:rPr>
          <w:rFonts w:ascii="Times New Roman" w:hAnsi="Times New Roman" w:cs="Calibri"/>
          <w:sz w:val="24"/>
          <w:szCs w:val="24"/>
          <w:lang w:eastAsia="ar-SA"/>
        </w:rPr>
        <w:t>Н</w:t>
      </w:r>
      <w:r w:rsidRPr="00952E47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Calibri"/>
          <w:sz w:val="24"/>
          <w:szCs w:val="24"/>
          <w:lang w:eastAsia="ar-SA"/>
        </w:rPr>
        <w:t>Щелк</w:t>
      </w:r>
      <w:r w:rsidRPr="00952E47">
        <w:rPr>
          <w:rFonts w:ascii="Times New Roman" w:hAnsi="Times New Roman" w:cs="Calibri"/>
          <w:sz w:val="24"/>
          <w:szCs w:val="24"/>
          <w:lang w:eastAsia="ar-SA"/>
        </w:rPr>
        <w:t>ова</w:t>
      </w: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tabs>
          <w:tab w:val="left" w:pos="9639"/>
        </w:tabs>
        <w:suppressAutoHyphens/>
        <w:spacing w:after="0" w:line="240" w:lineRule="auto"/>
        <w:ind w:left="-709"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A2EF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C3C3B" w:rsidRDefault="006C3C3B" w:rsidP="003D1FD5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4 (четырех)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листах получил</w:t>
      </w:r>
      <w:r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6C3C3B" w:rsidRPr="00621038" w:rsidRDefault="006C3C3B" w:rsidP="003D1FD5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>____________________________________</w:t>
      </w:r>
    </w:p>
    <w:p w:rsidR="006C3C3B" w:rsidRDefault="006C3C3B" w:rsidP="003D1FD5">
      <w:pPr>
        <w:suppressAutoHyphens/>
        <w:spacing w:after="0" w:line="240" w:lineRule="auto"/>
        <w:ind w:right="-709" w:hanging="709"/>
        <w:jc w:val="both"/>
      </w:pP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</w:t>
      </w: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(должность, ФИО,  дата и подпись)</w:t>
      </w:r>
    </w:p>
    <w:p w:rsidR="006C3C3B" w:rsidRPr="00D120DE" w:rsidRDefault="006C3C3B" w:rsidP="003D1FD5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</w:p>
    <w:sectPr w:rsidR="006C3C3B" w:rsidRPr="00D120DE" w:rsidSect="00ED3265">
      <w:footerReference w:type="even" r:id="rId10"/>
      <w:footerReference w:type="default" r:id="rId11"/>
      <w:pgSz w:w="11906" w:h="16838"/>
      <w:pgMar w:top="567" w:right="851" w:bottom="1134" w:left="204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3B" w:rsidRDefault="006C3C3B">
      <w:r>
        <w:separator/>
      </w:r>
    </w:p>
  </w:endnote>
  <w:endnote w:type="continuationSeparator" w:id="0">
    <w:p w:rsidR="006C3C3B" w:rsidRDefault="006C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B" w:rsidRDefault="006C3C3B" w:rsidP="00733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C3B" w:rsidRDefault="006C3C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B" w:rsidRDefault="006C3C3B" w:rsidP="00733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3C3B" w:rsidRDefault="006C3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3B" w:rsidRDefault="006C3C3B">
      <w:r>
        <w:separator/>
      </w:r>
    </w:p>
  </w:footnote>
  <w:footnote w:type="continuationSeparator" w:id="0">
    <w:p w:rsidR="006C3C3B" w:rsidRDefault="006C3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45ACD"/>
    <w:multiLevelType w:val="hybridMultilevel"/>
    <w:tmpl w:val="5CA69E46"/>
    <w:lvl w:ilvl="0" w:tplc="416A11F6">
      <w:start w:val="1"/>
      <w:numFmt w:val="decimal"/>
      <w:lvlText w:val="%1."/>
      <w:lvlJc w:val="left"/>
      <w:pPr>
        <w:ind w:left="623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A3C"/>
    <w:rsid w:val="00001FBE"/>
    <w:rsid w:val="0000378D"/>
    <w:rsid w:val="0000432C"/>
    <w:rsid w:val="00023008"/>
    <w:rsid w:val="00025841"/>
    <w:rsid w:val="000314FE"/>
    <w:rsid w:val="00077BDA"/>
    <w:rsid w:val="000C2DC8"/>
    <w:rsid w:val="000C394D"/>
    <w:rsid w:val="000C40E4"/>
    <w:rsid w:val="000E46FE"/>
    <w:rsid w:val="0012293A"/>
    <w:rsid w:val="00145314"/>
    <w:rsid w:val="00160896"/>
    <w:rsid w:val="001947A1"/>
    <w:rsid w:val="001E2033"/>
    <w:rsid w:val="001E3FB0"/>
    <w:rsid w:val="001E424E"/>
    <w:rsid w:val="001F07D1"/>
    <w:rsid w:val="002372DD"/>
    <w:rsid w:val="002460D0"/>
    <w:rsid w:val="00252D3D"/>
    <w:rsid w:val="00275EF6"/>
    <w:rsid w:val="002A3A53"/>
    <w:rsid w:val="002B516F"/>
    <w:rsid w:val="002C44BA"/>
    <w:rsid w:val="002C6531"/>
    <w:rsid w:val="0031026A"/>
    <w:rsid w:val="00311C17"/>
    <w:rsid w:val="00311E9A"/>
    <w:rsid w:val="003160B3"/>
    <w:rsid w:val="003254D6"/>
    <w:rsid w:val="0033491D"/>
    <w:rsid w:val="00340431"/>
    <w:rsid w:val="003A2EF9"/>
    <w:rsid w:val="003B0D4E"/>
    <w:rsid w:val="003C0660"/>
    <w:rsid w:val="003D141B"/>
    <w:rsid w:val="003D1FD5"/>
    <w:rsid w:val="003D49D8"/>
    <w:rsid w:val="00400400"/>
    <w:rsid w:val="00432506"/>
    <w:rsid w:val="004372B0"/>
    <w:rsid w:val="00447068"/>
    <w:rsid w:val="004B3FE3"/>
    <w:rsid w:val="004E087D"/>
    <w:rsid w:val="004E39AB"/>
    <w:rsid w:val="00503D18"/>
    <w:rsid w:val="005061C5"/>
    <w:rsid w:val="00510BCD"/>
    <w:rsid w:val="00516E41"/>
    <w:rsid w:val="00532E91"/>
    <w:rsid w:val="005A0AB5"/>
    <w:rsid w:val="005A1535"/>
    <w:rsid w:val="005A6369"/>
    <w:rsid w:val="005A717B"/>
    <w:rsid w:val="005B7813"/>
    <w:rsid w:val="005C16BA"/>
    <w:rsid w:val="005C16C3"/>
    <w:rsid w:val="005C48F5"/>
    <w:rsid w:val="005F1EE1"/>
    <w:rsid w:val="0061263C"/>
    <w:rsid w:val="006160AA"/>
    <w:rsid w:val="00621038"/>
    <w:rsid w:val="00663AC9"/>
    <w:rsid w:val="006C08DB"/>
    <w:rsid w:val="006C3C3B"/>
    <w:rsid w:val="006D0819"/>
    <w:rsid w:val="00723A40"/>
    <w:rsid w:val="00732802"/>
    <w:rsid w:val="00733D3A"/>
    <w:rsid w:val="00734900"/>
    <w:rsid w:val="00742753"/>
    <w:rsid w:val="00742F18"/>
    <w:rsid w:val="0076294E"/>
    <w:rsid w:val="00792F9F"/>
    <w:rsid w:val="007D7EB2"/>
    <w:rsid w:val="00806F1C"/>
    <w:rsid w:val="00815263"/>
    <w:rsid w:val="00854A65"/>
    <w:rsid w:val="008639A8"/>
    <w:rsid w:val="0087321C"/>
    <w:rsid w:val="00893C31"/>
    <w:rsid w:val="00894153"/>
    <w:rsid w:val="008D12A7"/>
    <w:rsid w:val="008D2412"/>
    <w:rsid w:val="008F3063"/>
    <w:rsid w:val="009027F0"/>
    <w:rsid w:val="00910C8B"/>
    <w:rsid w:val="00924A80"/>
    <w:rsid w:val="00934588"/>
    <w:rsid w:val="00941353"/>
    <w:rsid w:val="00952E47"/>
    <w:rsid w:val="0097734E"/>
    <w:rsid w:val="00993C36"/>
    <w:rsid w:val="009A0CF9"/>
    <w:rsid w:val="009B057D"/>
    <w:rsid w:val="009D3C49"/>
    <w:rsid w:val="00A4755D"/>
    <w:rsid w:val="00A57F04"/>
    <w:rsid w:val="00A91C90"/>
    <w:rsid w:val="00AD1A3C"/>
    <w:rsid w:val="00AD23A2"/>
    <w:rsid w:val="00B234E7"/>
    <w:rsid w:val="00B307EF"/>
    <w:rsid w:val="00B5288D"/>
    <w:rsid w:val="00B62E87"/>
    <w:rsid w:val="00B67ABC"/>
    <w:rsid w:val="00BA16AB"/>
    <w:rsid w:val="00BC65C0"/>
    <w:rsid w:val="00BD5A4F"/>
    <w:rsid w:val="00BE2F78"/>
    <w:rsid w:val="00BE377A"/>
    <w:rsid w:val="00BE5EAE"/>
    <w:rsid w:val="00BF0F47"/>
    <w:rsid w:val="00BF271D"/>
    <w:rsid w:val="00C126AA"/>
    <w:rsid w:val="00C4195A"/>
    <w:rsid w:val="00C50F7B"/>
    <w:rsid w:val="00C85750"/>
    <w:rsid w:val="00C90D09"/>
    <w:rsid w:val="00C96C5F"/>
    <w:rsid w:val="00CA2005"/>
    <w:rsid w:val="00CF0540"/>
    <w:rsid w:val="00CF1E41"/>
    <w:rsid w:val="00D027AF"/>
    <w:rsid w:val="00D120DE"/>
    <w:rsid w:val="00D128BE"/>
    <w:rsid w:val="00D31CFC"/>
    <w:rsid w:val="00D71C55"/>
    <w:rsid w:val="00D9219B"/>
    <w:rsid w:val="00DB6363"/>
    <w:rsid w:val="00DD5EAC"/>
    <w:rsid w:val="00DE2985"/>
    <w:rsid w:val="00DF1686"/>
    <w:rsid w:val="00E00A1C"/>
    <w:rsid w:val="00E066EA"/>
    <w:rsid w:val="00E22D1D"/>
    <w:rsid w:val="00E377FA"/>
    <w:rsid w:val="00E5004A"/>
    <w:rsid w:val="00E60442"/>
    <w:rsid w:val="00E67B5D"/>
    <w:rsid w:val="00E7052D"/>
    <w:rsid w:val="00E810A6"/>
    <w:rsid w:val="00EA06AC"/>
    <w:rsid w:val="00EA0A50"/>
    <w:rsid w:val="00EC6FAF"/>
    <w:rsid w:val="00ED3265"/>
    <w:rsid w:val="00ED741D"/>
    <w:rsid w:val="00F05ACA"/>
    <w:rsid w:val="00F35DCF"/>
    <w:rsid w:val="00F50EF4"/>
    <w:rsid w:val="00F61D7C"/>
    <w:rsid w:val="00FB3FA8"/>
    <w:rsid w:val="00FC6590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47A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E39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126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5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126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2148</TotalTime>
  <Pages>4</Pages>
  <Words>1596</Words>
  <Characters>9102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Shishko</cp:lastModifiedBy>
  <cp:revision>69</cp:revision>
  <cp:lastPrinted>2013-05-27T07:35:00Z</cp:lastPrinted>
  <dcterms:created xsi:type="dcterms:W3CDTF">2012-05-17T05:38:00Z</dcterms:created>
  <dcterms:modified xsi:type="dcterms:W3CDTF">2013-05-27T09:22:00Z</dcterms:modified>
</cp:coreProperties>
</file>