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CC" w:rsidRDefault="001441CC">
      <w:pPr>
        <w:pStyle w:val="ConsPlusTitlePage"/>
      </w:pPr>
    </w:p>
    <w:p w:rsidR="001441CC" w:rsidRDefault="001441CC">
      <w:pPr>
        <w:pStyle w:val="ConsPlusNormal"/>
        <w:jc w:val="both"/>
        <w:outlineLvl w:val="0"/>
      </w:pPr>
    </w:p>
    <w:p w:rsidR="001441CC" w:rsidRDefault="001441CC">
      <w:pPr>
        <w:pStyle w:val="ConsPlusTitle"/>
        <w:jc w:val="center"/>
        <w:outlineLvl w:val="0"/>
      </w:pPr>
      <w:r>
        <w:t>АДМИНИСТРАЦИЯ ТОМСКОЙ ОБЛАСТИ</w:t>
      </w:r>
    </w:p>
    <w:p w:rsidR="001441CC" w:rsidRDefault="001441CC">
      <w:pPr>
        <w:pStyle w:val="ConsPlusTitle"/>
        <w:jc w:val="center"/>
      </w:pPr>
    </w:p>
    <w:p w:rsidR="001441CC" w:rsidRDefault="001441CC">
      <w:pPr>
        <w:pStyle w:val="ConsPlusTitle"/>
        <w:jc w:val="center"/>
      </w:pPr>
      <w:r>
        <w:t>ПОСТАНОВЛЕНИЕ</w:t>
      </w:r>
    </w:p>
    <w:p w:rsidR="001441CC" w:rsidRDefault="001441CC">
      <w:pPr>
        <w:pStyle w:val="ConsPlusTitle"/>
        <w:jc w:val="center"/>
      </w:pPr>
      <w:r>
        <w:t>от 20 декабря 2022 г. N 587а</w:t>
      </w:r>
    </w:p>
    <w:p w:rsidR="001441CC" w:rsidRDefault="001441CC">
      <w:pPr>
        <w:pStyle w:val="ConsPlusTitle"/>
        <w:jc w:val="both"/>
      </w:pPr>
    </w:p>
    <w:p w:rsidR="001441CC" w:rsidRDefault="001441CC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1441CC" w:rsidRDefault="001441CC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1441CC" w:rsidRDefault="001441CC">
      <w:pPr>
        <w:pStyle w:val="ConsPlusTitle"/>
        <w:jc w:val="center"/>
      </w:pPr>
      <w:r>
        <w:t>НАСЕЛЕНИЯ В ТОМСКОЙ ОБЛАСТИ НА 2023 ГОД</w:t>
      </w: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26.06.2021 N 1022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</w:t>
      </w:r>
      <w:hyperlink r:id="rId6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 постановляю:</w:t>
      </w:r>
      <w:proofErr w:type="gramEnd"/>
    </w:p>
    <w:p w:rsidR="001441CC" w:rsidRDefault="001441CC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29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в Томской области на 2023 год согласно приложению к настоящему постановлению.</w:t>
      </w:r>
    </w:p>
    <w:p w:rsidR="001441CC" w:rsidRDefault="001441CC">
      <w:pPr>
        <w:pStyle w:val="ConsPlusNormal"/>
        <w:spacing w:before="20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постановления.</w:t>
      </w:r>
    </w:p>
    <w:p w:rsidR="001441CC" w:rsidRDefault="001441CC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2023 года и действует до 31 декабря 2023 года.</w:t>
      </w:r>
    </w:p>
    <w:p w:rsidR="001441CC" w:rsidRDefault="001441C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по социальной политике.</w:t>
      </w: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1441CC" w:rsidRDefault="001441CC">
      <w:pPr>
        <w:pStyle w:val="ConsPlusNormal"/>
        <w:jc w:val="right"/>
      </w:pPr>
      <w:r>
        <w:t>Томской области</w:t>
      </w:r>
    </w:p>
    <w:p w:rsidR="001441CC" w:rsidRDefault="001441CC">
      <w:pPr>
        <w:pStyle w:val="ConsPlusNormal"/>
        <w:jc w:val="right"/>
      </w:pPr>
      <w:r>
        <w:t>А.М.РОЖКОВ</w:t>
      </w: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</w:p>
    <w:p w:rsidR="00645F49" w:rsidRDefault="00645F49">
      <w:pPr>
        <w:pStyle w:val="ConsPlusNormal"/>
        <w:jc w:val="both"/>
      </w:pPr>
      <w:bookmarkStart w:id="0" w:name="_GoBack"/>
      <w:bookmarkEnd w:id="0"/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right"/>
        <w:outlineLvl w:val="0"/>
      </w:pPr>
      <w:r>
        <w:lastRenderedPageBreak/>
        <w:t>Приложение</w:t>
      </w:r>
    </w:p>
    <w:p w:rsidR="001441CC" w:rsidRDefault="001441CC">
      <w:pPr>
        <w:pStyle w:val="ConsPlusNormal"/>
        <w:jc w:val="right"/>
      </w:pPr>
      <w:r>
        <w:t>к постановлению</w:t>
      </w:r>
    </w:p>
    <w:p w:rsidR="001441CC" w:rsidRDefault="001441CC">
      <w:pPr>
        <w:pStyle w:val="ConsPlusNormal"/>
        <w:jc w:val="right"/>
      </w:pPr>
      <w:r>
        <w:t>Администрации Томской области</w:t>
      </w:r>
    </w:p>
    <w:p w:rsidR="001441CC" w:rsidRDefault="001441CC">
      <w:pPr>
        <w:pStyle w:val="ConsPlusNormal"/>
        <w:jc w:val="right"/>
      </w:pPr>
      <w:r>
        <w:t>от 20.12.2022 N 587а</w:t>
      </w: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Title"/>
        <w:jc w:val="center"/>
      </w:pPr>
      <w:bookmarkStart w:id="1" w:name="P29"/>
      <w:bookmarkEnd w:id="1"/>
      <w:r>
        <w:t>ВЕЛИЧИНА</w:t>
      </w:r>
    </w:p>
    <w:p w:rsidR="001441CC" w:rsidRDefault="001441CC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1441CC" w:rsidRDefault="001441CC">
      <w:pPr>
        <w:pStyle w:val="ConsPlusTitle"/>
        <w:jc w:val="center"/>
      </w:pPr>
      <w:r>
        <w:t>СОЦИАЛЬНО-ДЕМОГРАФИЧЕСКИМ ГРУППАМ НАСЕЛЕНИЯ</w:t>
      </w:r>
    </w:p>
    <w:p w:rsidR="001441CC" w:rsidRDefault="001441CC">
      <w:pPr>
        <w:pStyle w:val="ConsPlusTitle"/>
        <w:jc w:val="center"/>
      </w:pPr>
      <w:r>
        <w:t>В ТОМСКОЙ ОБЛАСТИ НА 2023 ГОД</w:t>
      </w: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right"/>
      </w:pPr>
      <w:r>
        <w:t>(в рублях)</w:t>
      </w:r>
    </w:p>
    <w:p w:rsidR="001441CC" w:rsidRDefault="001441C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1441CC">
        <w:tc>
          <w:tcPr>
            <w:tcW w:w="3969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Дети</w:t>
            </w:r>
          </w:p>
        </w:tc>
      </w:tr>
      <w:tr w:rsidR="001441CC">
        <w:tc>
          <w:tcPr>
            <w:tcW w:w="3969" w:type="dxa"/>
            <w:vAlign w:val="center"/>
          </w:tcPr>
          <w:p w:rsidR="001441CC" w:rsidRDefault="001441CC">
            <w:pPr>
              <w:pStyle w:val="ConsPlusNormal"/>
            </w:pPr>
            <w:r>
              <w:t>муниципальные образования:</w:t>
            </w:r>
          </w:p>
          <w:p w:rsidR="001441CC" w:rsidRDefault="001441CC">
            <w:pPr>
              <w:pStyle w:val="ConsPlusNormal"/>
            </w:pPr>
            <w:r>
              <w:t>Городской округ Стрежевой,</w:t>
            </w:r>
          </w:p>
          <w:p w:rsidR="001441CC" w:rsidRDefault="001441CC">
            <w:pPr>
              <w:pStyle w:val="ConsPlusNormal"/>
            </w:pPr>
            <w:r>
              <w:t>Александровский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Каргасокский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Верхнекетский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Колпашевский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Парабельский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Молчановский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Чаинский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Тегульдетский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r>
              <w:t>город Кедровый,</w:t>
            </w:r>
          </w:p>
          <w:p w:rsidR="001441CC" w:rsidRDefault="001441CC">
            <w:pPr>
              <w:pStyle w:val="ConsPlusNormal"/>
            </w:pPr>
            <w:proofErr w:type="spellStart"/>
            <w:r>
              <w:t>Кривошеинский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Бакчарский</w:t>
            </w:r>
            <w:proofErr w:type="spellEnd"/>
            <w:r>
              <w:t xml:space="preserve"> район</w:t>
            </w:r>
          </w:p>
        </w:tc>
        <w:tc>
          <w:tcPr>
            <w:tcW w:w="117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15638</w:t>
            </w:r>
          </w:p>
        </w:tc>
        <w:tc>
          <w:tcPr>
            <w:tcW w:w="1789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17045</w:t>
            </w:r>
          </w:p>
        </w:tc>
        <w:tc>
          <w:tcPr>
            <w:tcW w:w="141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13449</w:t>
            </w:r>
          </w:p>
        </w:tc>
        <w:tc>
          <w:tcPr>
            <w:tcW w:w="72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16546</w:t>
            </w:r>
          </w:p>
        </w:tc>
      </w:tr>
      <w:tr w:rsidR="001441CC">
        <w:tc>
          <w:tcPr>
            <w:tcW w:w="3969" w:type="dxa"/>
            <w:vAlign w:val="center"/>
          </w:tcPr>
          <w:p w:rsidR="001441CC" w:rsidRDefault="001441CC">
            <w:pPr>
              <w:pStyle w:val="ConsPlusNormal"/>
            </w:pPr>
            <w:r>
              <w:t>муниципальные образования:</w:t>
            </w:r>
          </w:p>
          <w:p w:rsidR="001441CC" w:rsidRDefault="001441CC">
            <w:pPr>
              <w:pStyle w:val="ConsPlusNormal"/>
            </w:pPr>
            <w:r>
              <w:t>Первомайский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Асиновский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r>
              <w:t>Зырянский район,</w:t>
            </w:r>
          </w:p>
          <w:p w:rsidR="001441CC" w:rsidRDefault="001441CC">
            <w:pPr>
              <w:pStyle w:val="ConsPlusNormal"/>
            </w:pPr>
            <w:proofErr w:type="spellStart"/>
            <w:r>
              <w:t>Шегарский</w:t>
            </w:r>
            <w:proofErr w:type="spellEnd"/>
            <w:r>
              <w:t xml:space="preserve"> район,</w:t>
            </w:r>
          </w:p>
          <w:p w:rsidR="001441CC" w:rsidRDefault="001441CC">
            <w:pPr>
              <w:pStyle w:val="ConsPlusNormal"/>
            </w:pPr>
            <w:r>
              <w:t>Томский район,</w:t>
            </w:r>
          </w:p>
          <w:p w:rsidR="001441CC" w:rsidRDefault="001441CC">
            <w:pPr>
              <w:pStyle w:val="ConsPlusNormal"/>
            </w:pPr>
            <w:r>
              <w:t>Город Томск,</w:t>
            </w:r>
          </w:p>
          <w:p w:rsidR="001441CC" w:rsidRDefault="001441CC">
            <w:pPr>
              <w:pStyle w:val="ConsPlusNormal"/>
            </w:pPr>
            <w:r>
              <w:t>городской округ закрытое административно-территориальное образование Северск Томской области,</w:t>
            </w:r>
          </w:p>
          <w:p w:rsidR="001441CC" w:rsidRDefault="001441CC">
            <w:pPr>
              <w:pStyle w:val="ConsPlusNormal"/>
            </w:pPr>
            <w:proofErr w:type="spellStart"/>
            <w:r>
              <w:t>Кожевниковский</w:t>
            </w:r>
            <w:proofErr w:type="spellEnd"/>
            <w:r>
              <w:t xml:space="preserve"> район</w:t>
            </w:r>
          </w:p>
        </w:tc>
        <w:tc>
          <w:tcPr>
            <w:tcW w:w="117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14220</w:t>
            </w:r>
          </w:p>
        </w:tc>
        <w:tc>
          <w:tcPr>
            <w:tcW w:w="1789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141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12230</w:t>
            </w:r>
          </w:p>
        </w:tc>
        <w:tc>
          <w:tcPr>
            <w:tcW w:w="72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15046</w:t>
            </w:r>
          </w:p>
        </w:tc>
      </w:tr>
      <w:tr w:rsidR="001441CC">
        <w:tc>
          <w:tcPr>
            <w:tcW w:w="3969" w:type="dxa"/>
            <w:vAlign w:val="center"/>
          </w:tcPr>
          <w:p w:rsidR="001441CC" w:rsidRDefault="001441CC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14466</w:t>
            </w:r>
          </w:p>
        </w:tc>
        <w:tc>
          <w:tcPr>
            <w:tcW w:w="1789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15768</w:t>
            </w:r>
          </w:p>
        </w:tc>
        <w:tc>
          <w:tcPr>
            <w:tcW w:w="141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12441</w:t>
            </w:r>
          </w:p>
        </w:tc>
        <w:tc>
          <w:tcPr>
            <w:tcW w:w="724" w:type="dxa"/>
            <w:vAlign w:val="center"/>
          </w:tcPr>
          <w:p w:rsidR="001441CC" w:rsidRDefault="001441CC">
            <w:pPr>
              <w:pStyle w:val="ConsPlusNormal"/>
              <w:jc w:val="center"/>
            </w:pPr>
            <w:r>
              <w:t>15306</w:t>
            </w:r>
          </w:p>
        </w:tc>
      </w:tr>
    </w:tbl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jc w:val="both"/>
      </w:pPr>
    </w:p>
    <w:p w:rsidR="001441CC" w:rsidRDefault="001441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982" w:rsidRDefault="001B3982"/>
    <w:sectPr w:rsidR="001B3982" w:rsidSect="0017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CC"/>
    <w:rsid w:val="001441CC"/>
    <w:rsid w:val="001B3982"/>
    <w:rsid w:val="006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1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41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41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1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41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41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9B23345E91C09722C8DA5173BA4F1C3A48B016BA022DA21AD97C40CBF05E7BC1C600943F0E58CC4D960DF7ECDCA17C69A54C27C0DFD6F907EE126MEK3E" TargetMode="External"/><Relationship Id="rId5" Type="http://schemas.openxmlformats.org/officeDocument/2006/relationships/hyperlink" Target="consultantplus://offline/ref=0989B23345E91C09722C93A80157FAF5C6ACD10969A52B8D7AFB919353EF03B2FC5C665C00B4E88FC5D2348B3C93934683D159C06311FD6FM8K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Ольга</dc:creator>
  <cp:lastModifiedBy>Королева Ольга</cp:lastModifiedBy>
  <cp:revision>3</cp:revision>
  <cp:lastPrinted>2023-02-01T04:47:00Z</cp:lastPrinted>
  <dcterms:created xsi:type="dcterms:W3CDTF">2023-02-01T04:10:00Z</dcterms:created>
  <dcterms:modified xsi:type="dcterms:W3CDTF">2023-02-01T04:48:00Z</dcterms:modified>
</cp:coreProperties>
</file>